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413FBF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594540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9C" w:rsidRDefault="00B0429C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</w:t>
      </w:r>
      <w:r w:rsidR="00413FBF">
        <w:t>60</w:t>
      </w:r>
      <w:r>
        <w:t xml:space="preserve">; ARCHION-Bild </w:t>
      </w:r>
      <w:r w:rsidR="00413FBF">
        <w:t>17</w:t>
      </w:r>
      <w:r>
        <w:t xml:space="preserve"> in „Taufen 1748 – 1809“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B05E5F">
        <w:t>d</w:t>
      </w:r>
      <w:r w:rsidR="00413FBF">
        <w:t>.17. Febr. ist Johann Henrich Hummelbeck Söhnl. Johann Dieterich getauft. Gevattern sind Joh. Henr. Jucho von Wambeln (Wambel, KJK), Dieterich Gildehaus und Elisabeth Rüpingsche in Barop“.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413FBF"/>
    <w:rsid w:val="00436070"/>
    <w:rsid w:val="004F731E"/>
    <w:rsid w:val="006C1404"/>
    <w:rsid w:val="00762E74"/>
    <w:rsid w:val="00B0429C"/>
    <w:rsid w:val="00B05E5F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2018-04-11T14:47:00Z</dcterms:created>
  <dcterms:modified xsi:type="dcterms:W3CDTF">2018-04-11T14:47:00Z</dcterms:modified>
</cp:coreProperties>
</file>