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F75AD5">
      <w:r>
        <w:rPr>
          <w:noProof/>
          <w:lang w:eastAsia="de-DE"/>
        </w:rPr>
        <w:drawing>
          <wp:inline distT="0" distB="0" distL="0" distR="0">
            <wp:extent cx="5760720" cy="1238340"/>
            <wp:effectExtent l="0" t="0" r="0" b="0"/>
            <wp:docPr id="6" name="Grafik 6" descr="C:\Users\Jürgen\AppData\Local\Microsoft\Windows\INetCache\Content.Word\IMG_20161201_10544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ürgen\AppData\Local\Microsoft\Windows\INetCache\Content.Word\IMG_20161201_10544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E4316">
        <w:t>5</w:t>
      </w:r>
      <w:r w:rsidR="00F75AD5">
        <w:t>6</w:t>
      </w:r>
      <w:r>
        <w:t>; ARCHION-Bild 1</w:t>
      </w:r>
      <w:r w:rsidR="00F75AD5">
        <w:t>49</w:t>
      </w:r>
      <w:r>
        <w:t xml:space="preserve"> in „Taufen 1694 - 1764“</w:t>
      </w:r>
    </w:p>
    <w:p w:rsidR="00AE6584" w:rsidRDefault="00AE6584">
      <w:r>
        <w:t>Abschrift:</w:t>
      </w:r>
    </w:p>
    <w:p w:rsidR="00AE6584" w:rsidRDefault="00AE6584">
      <w:r>
        <w:t xml:space="preserve">„d. </w:t>
      </w:r>
      <w:r w:rsidR="00F75AD5">
        <w:t>20ten April hat Wilcke</w:t>
      </w:r>
      <w:r w:rsidR="005D7786">
        <w:t xml:space="preserve"> zu Lütken=Bögge (Lütgenbögge, heute Altenbögge, KJK) eine junge Tochter taufen laßen, welche nach Lichtermanns Tochter und Schüermans=Tochter zu Wambelen (Wambeln, KJK) Clara Maria Elisabeth ist genand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D7786"/>
    <w:rsid w:val="005F386D"/>
    <w:rsid w:val="006D62A3"/>
    <w:rsid w:val="007C25AD"/>
    <w:rsid w:val="00804657"/>
    <w:rsid w:val="008E4316"/>
    <w:rsid w:val="00917A73"/>
    <w:rsid w:val="009473FB"/>
    <w:rsid w:val="00AE6584"/>
    <w:rsid w:val="00B33DCA"/>
    <w:rsid w:val="00B44E8A"/>
    <w:rsid w:val="00C23745"/>
    <w:rsid w:val="00F75AD5"/>
    <w:rsid w:val="00F8564A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2016-12-01T10:52:00Z</dcterms:created>
  <dcterms:modified xsi:type="dcterms:W3CDTF">2016-12-01T10:52:00Z</dcterms:modified>
</cp:coreProperties>
</file>