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475B9F">
      <w:r>
        <w:rPr>
          <w:noProof/>
          <w:lang w:eastAsia="de-DE"/>
        </w:rPr>
        <w:drawing>
          <wp:inline distT="0" distB="0" distL="0" distR="0">
            <wp:extent cx="5760720" cy="154953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B9F" w:rsidRDefault="00475B9F"/>
    <w:p w:rsidR="00475B9F" w:rsidRDefault="00475B9F">
      <w:bookmarkStart w:id="0" w:name="_GoBack"/>
      <w:r>
        <w:t>Kirchenbuch Adorf 1695; ARCHION-Bild 290 in Kirchenbuch 1648 – 1702</w:t>
      </w:r>
    </w:p>
    <w:p w:rsidR="00475B9F" w:rsidRDefault="00475B9F">
      <w:r>
        <w:t>Abschrift:</w:t>
      </w:r>
    </w:p>
    <w:p w:rsidR="00475B9F" w:rsidRDefault="00475B9F">
      <w:r>
        <w:t xml:space="preserve">„Den 16 Jan. Johan Herman </w:t>
      </w:r>
      <w:proofErr w:type="spellStart"/>
      <w:r>
        <w:t>Biederbeck</w:t>
      </w:r>
      <w:proofErr w:type="spellEnd"/>
      <w:r>
        <w:t xml:space="preserve"> in </w:t>
      </w:r>
      <w:proofErr w:type="spellStart"/>
      <w:r>
        <w:t>Giebringhausen</w:t>
      </w:r>
      <w:proofErr w:type="spellEnd"/>
      <w:r>
        <w:t xml:space="preserve"> ein </w:t>
      </w:r>
      <w:proofErr w:type="spellStart"/>
      <w:r>
        <w:t>Töchterl</w:t>
      </w:r>
      <w:proofErr w:type="spellEnd"/>
      <w:r>
        <w:t xml:space="preserve"> taufen </w:t>
      </w:r>
      <w:proofErr w:type="spellStart"/>
      <w:r>
        <w:t>laßen</w:t>
      </w:r>
      <w:proofErr w:type="spellEnd"/>
      <w:r>
        <w:t xml:space="preserve"> </w:t>
      </w:r>
      <w:proofErr w:type="spellStart"/>
      <w:r>
        <w:t>genandt</w:t>
      </w:r>
      <w:proofErr w:type="spellEnd"/>
      <w:r>
        <w:t xml:space="preserve"> Anna Engel; Testes (Zeugen, KJK) Engelbracht </w:t>
      </w:r>
      <w:proofErr w:type="spellStart"/>
      <w:r>
        <w:t>Biederbeck</w:t>
      </w:r>
      <w:proofErr w:type="spellEnd"/>
      <w:r>
        <w:t xml:space="preserve"> </w:t>
      </w:r>
      <w:proofErr w:type="spellStart"/>
      <w:r>
        <w:t>Fraw</w:t>
      </w:r>
      <w:proofErr w:type="spellEnd"/>
      <w:r>
        <w:t xml:space="preserve"> Anna Maria, Herr </w:t>
      </w:r>
      <w:proofErr w:type="spellStart"/>
      <w:r>
        <w:t>Factor</w:t>
      </w:r>
      <w:proofErr w:type="spellEnd"/>
      <w:r>
        <w:t xml:space="preserve"> </w:t>
      </w:r>
      <w:proofErr w:type="spellStart"/>
      <w:r>
        <w:t>Polmanß</w:t>
      </w:r>
      <w:proofErr w:type="spellEnd"/>
      <w:r>
        <w:t xml:space="preserve"> </w:t>
      </w:r>
      <w:proofErr w:type="spellStart"/>
      <w:r>
        <w:t>Fraw</w:t>
      </w:r>
      <w:proofErr w:type="spellEnd"/>
      <w:r>
        <w:t xml:space="preserve"> und Anna Engel </w:t>
      </w:r>
      <w:proofErr w:type="spellStart"/>
      <w:r>
        <w:t>deß</w:t>
      </w:r>
      <w:proofErr w:type="spellEnd"/>
      <w:r>
        <w:t xml:space="preserve"> </w:t>
      </w:r>
      <w:proofErr w:type="spellStart"/>
      <w:r>
        <w:t>Müllerß</w:t>
      </w:r>
      <w:proofErr w:type="spellEnd"/>
      <w:r>
        <w:t xml:space="preserve"> </w:t>
      </w:r>
      <w:proofErr w:type="spellStart"/>
      <w:r>
        <w:t>Giebringhausen</w:t>
      </w:r>
      <w:proofErr w:type="spellEnd"/>
      <w:r>
        <w:t xml:space="preserve"> Tochter“.</w:t>
      </w:r>
      <w:bookmarkEnd w:id="0"/>
    </w:p>
    <w:sectPr w:rsidR="00475B9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B9F"/>
    <w:rsid w:val="000E67AF"/>
    <w:rsid w:val="001D7626"/>
    <w:rsid w:val="00206A88"/>
    <w:rsid w:val="003A48D8"/>
    <w:rsid w:val="00475B9F"/>
    <w:rsid w:val="0082143C"/>
    <w:rsid w:val="00C9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5B9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5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5B9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5B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2019-03-19T13:58:00Z</dcterms:created>
  <dcterms:modified xsi:type="dcterms:W3CDTF">2019-03-19T14:24:00Z</dcterms:modified>
</cp:coreProperties>
</file>